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70" w:rsidRPr="009E22BF" w:rsidRDefault="00871EA5">
      <w:pPr>
        <w:rPr>
          <w:b/>
          <w:sz w:val="24"/>
          <w:szCs w:val="24"/>
        </w:rPr>
      </w:pPr>
      <w:r>
        <w:tab/>
      </w:r>
      <w:r>
        <w:tab/>
      </w:r>
      <w:r>
        <w:tab/>
      </w:r>
      <w:r w:rsidR="00C34C70" w:rsidRPr="009E22BF">
        <w:rPr>
          <w:b/>
          <w:sz w:val="24"/>
          <w:szCs w:val="24"/>
        </w:rPr>
        <w:t xml:space="preserve">TEDARİKÇİLERE YÖNELİK İŞ ETİĞİ </w:t>
      </w:r>
      <w:r w:rsidR="005A5CF3">
        <w:rPr>
          <w:b/>
          <w:sz w:val="24"/>
          <w:szCs w:val="24"/>
        </w:rPr>
        <w:t>KURALLARI</w:t>
      </w:r>
    </w:p>
    <w:p w:rsidR="00C34C70" w:rsidRPr="009E22BF" w:rsidRDefault="00C34C70">
      <w:pPr>
        <w:rPr>
          <w:b/>
          <w:sz w:val="24"/>
          <w:szCs w:val="24"/>
        </w:rPr>
      </w:pPr>
    </w:p>
    <w:p w:rsidR="00C34C70" w:rsidRDefault="00A81918" w:rsidP="009E22BF">
      <w:pPr>
        <w:ind w:firstLine="0"/>
      </w:pPr>
      <w:r>
        <w:t>TURKUAZ MARİN DENİZ ÜRÜNLERİ</w:t>
      </w:r>
      <w:r w:rsidR="004E6B26">
        <w:t xml:space="preserve"> A.Ş</w:t>
      </w:r>
      <w:proofErr w:type="gramStart"/>
      <w:r w:rsidR="004E6B26">
        <w:t>.</w:t>
      </w:r>
      <w:r w:rsidR="00C34C70">
        <w:t>,</w:t>
      </w:r>
      <w:proofErr w:type="gramEnd"/>
      <w:r w:rsidR="00C34C70">
        <w:t xml:space="preserve"> tüm faaliyetleri</w:t>
      </w:r>
      <w:r w:rsidR="0052614A">
        <w:t>nde insan hakları, işçi hakları ve çevre konularına</w:t>
      </w:r>
      <w:r w:rsidR="00C34C70">
        <w:t xml:space="preserve"> ilişkin temel ilkelere bağlıdır. Bu ilkeler, tedarikçilerimizle sürdürülebilir ilişkilerin kurulmasını da içermektedir. Birlikte çalıştığımız tedarikçilere karşı sorumluluk üstlenmekte ve</w:t>
      </w:r>
      <w:r w:rsidR="00C34C70" w:rsidRPr="00C34C70">
        <w:t xml:space="preserve"> </w:t>
      </w:r>
      <w:r w:rsidR="00C34C70">
        <w:t>onlardan da bizden bekleyecekleri seviyede doğruluk, dürüstlük ve etik davranışlar sergilemelerini beklemekteyiz.</w:t>
      </w:r>
    </w:p>
    <w:p w:rsidR="00C34C70" w:rsidRDefault="0052614A" w:rsidP="009E22BF">
      <w:pPr>
        <w:ind w:firstLine="0"/>
      </w:pPr>
      <w:r>
        <w:t xml:space="preserve">Aşağıda </w:t>
      </w:r>
      <w:r w:rsidR="00C34C70">
        <w:t xml:space="preserve">görmüş olduğunuz Tedarikçilere Yönelik İş Etiği Kuralları belgesini oluşturduk ve tedarikçilerimizden de bu kurallara uymak için azami gayret sarf etmelerini talep etmekteyiz. </w:t>
      </w:r>
    </w:p>
    <w:p w:rsidR="00C34C70" w:rsidRPr="006A6679" w:rsidRDefault="00C34C70" w:rsidP="00963424">
      <w:pPr>
        <w:ind w:firstLine="0"/>
        <w:rPr>
          <w:b/>
        </w:rPr>
      </w:pPr>
      <w:r w:rsidRPr="006A6679">
        <w:rPr>
          <w:b/>
        </w:rPr>
        <w:t xml:space="preserve">YASAL UYUMLULUK </w:t>
      </w:r>
    </w:p>
    <w:p w:rsidR="00C34C70" w:rsidRDefault="00C34C70" w:rsidP="00963424">
      <w:pPr>
        <w:ind w:firstLine="0"/>
      </w:pPr>
      <w:r>
        <w:t>İlgili yasal gerekliliklerin öğrenilmesini ve bunlara uyulmasını sağlama, Tedarikçilere Yönelik İş Etiği Kurallarına uyumun temelini oluşturmaktadır.</w:t>
      </w:r>
      <w:r w:rsidRPr="00C34C70">
        <w:t xml:space="preserve"> </w:t>
      </w:r>
      <w:r>
        <w:t xml:space="preserve">Tedarikçilerimizden </w:t>
      </w:r>
      <w:r w:rsidR="00963424">
        <w:t xml:space="preserve">insan hakları, işçi hakları, çalışma koşulları, sağlık, güvenlik, çevre, vergi ve yolsuzlukla mücadeleye ilişkin ilgili mevzuata uyma ve yasal olarak gerekli tüm izin, ruhsat ve tescilleri edinmelerini beklenmekteyiz. </w:t>
      </w:r>
    </w:p>
    <w:p w:rsidR="001A1F17" w:rsidRPr="006A6679" w:rsidRDefault="001A1F17" w:rsidP="00963424">
      <w:pPr>
        <w:ind w:firstLine="0"/>
        <w:rPr>
          <w:b/>
        </w:rPr>
      </w:pPr>
      <w:r w:rsidRPr="006A6679">
        <w:rPr>
          <w:b/>
        </w:rPr>
        <w:t>SAĞLIK VE GÜVENLİK</w:t>
      </w:r>
    </w:p>
    <w:p w:rsidR="001A1F17" w:rsidRDefault="001A1F17" w:rsidP="00963424">
      <w:pPr>
        <w:ind w:firstLine="0"/>
      </w:pPr>
      <w:r>
        <w:t xml:space="preserve">"Önce Güvenlik", </w:t>
      </w:r>
      <w:r w:rsidR="00A81918">
        <w:t>TURKUAZ MARİN DENİZ ÜRÜNLERİ</w:t>
      </w:r>
      <w:r w:rsidR="004E6B26">
        <w:t xml:space="preserve"> </w:t>
      </w:r>
      <w:proofErr w:type="spellStart"/>
      <w:r w:rsidR="004E6B26">
        <w:t>A.Ş.</w:t>
      </w:r>
      <w:r w:rsidR="001521DB">
        <w:t>’in</w:t>
      </w:r>
      <w:proofErr w:type="spellEnd"/>
      <w:r>
        <w:t xml:space="preserve"> temel çalışma</w:t>
      </w:r>
      <w:r w:rsidRPr="001A1F17">
        <w:t xml:space="preserve"> </w:t>
      </w:r>
      <w:r>
        <w:t>prensiplerinden biridir.</w:t>
      </w:r>
      <w:r w:rsidRPr="001A1F17">
        <w:t xml:space="preserve"> </w:t>
      </w:r>
      <w:r>
        <w:t>Tedarikçiler, sağlıklı ve güvenli bir çalışma ortamı</w:t>
      </w:r>
      <w:r w:rsidRPr="001A1F17">
        <w:t xml:space="preserve"> </w:t>
      </w:r>
      <w:r>
        <w:t>sağlamalı</w:t>
      </w:r>
      <w:r w:rsidR="00963424">
        <w:t xml:space="preserve">, </w:t>
      </w:r>
      <w:r>
        <w:t>kaza ve yaralanmaları önlemek için</w:t>
      </w:r>
      <w:r w:rsidRPr="001A1F17">
        <w:t xml:space="preserve"> </w:t>
      </w:r>
      <w:r>
        <w:t>uygulanabilir tüm önlemleri almalıdır. Tedarikçiler, sağlık ve güvenlik politikası gibi ilgili</w:t>
      </w:r>
      <w:r w:rsidRPr="001A1F17">
        <w:t xml:space="preserve"> </w:t>
      </w:r>
      <w:r>
        <w:t xml:space="preserve">talimatlar ve eğitimler de </w:t>
      </w:r>
      <w:proofErr w:type="gramStart"/>
      <w:r>
        <w:t>dahil</w:t>
      </w:r>
      <w:proofErr w:type="gramEnd"/>
      <w:r>
        <w:t xml:space="preserve"> olmak üzere tüm</w:t>
      </w:r>
      <w:r w:rsidRPr="001A1F17">
        <w:t xml:space="preserve"> </w:t>
      </w:r>
      <w:r>
        <w:t>çalışanların anlayabileceği yeterli ve riskleri dikkate alan</w:t>
      </w:r>
      <w:r w:rsidRPr="001A1F17">
        <w:t xml:space="preserve"> </w:t>
      </w:r>
      <w:r>
        <w:t>bir sağlık ve güvenlik programına sahip olmalıdır.</w:t>
      </w:r>
      <w:r w:rsidRPr="001A1F17">
        <w:t xml:space="preserve"> </w:t>
      </w:r>
      <w:r>
        <w:t>Bu sağlık ve güvenlik programının kapsamı, işin doğası</w:t>
      </w:r>
      <w:r w:rsidRPr="001A1F17">
        <w:t xml:space="preserve"> </w:t>
      </w:r>
      <w:r>
        <w:t>ve işle ilgili riskler bakımından uygun olmalıdır.</w:t>
      </w:r>
    </w:p>
    <w:p w:rsidR="001A1F17" w:rsidRPr="006A6679" w:rsidRDefault="001A1F17" w:rsidP="00963424">
      <w:pPr>
        <w:ind w:firstLine="0"/>
        <w:rPr>
          <w:b/>
        </w:rPr>
      </w:pPr>
      <w:r w:rsidRPr="006A6679">
        <w:rPr>
          <w:b/>
        </w:rPr>
        <w:t>İŞÇİ VE İNSAN HAKLARI</w:t>
      </w:r>
    </w:p>
    <w:p w:rsidR="001A1F17" w:rsidRDefault="001A1F17" w:rsidP="00963424">
      <w:pPr>
        <w:ind w:firstLine="0"/>
      </w:pPr>
      <w:r>
        <w:t>Tedarikçilerimizin kendi çalışanlarına adil, onurlu ve</w:t>
      </w:r>
      <w:r w:rsidRPr="001A1F17">
        <w:t xml:space="preserve"> </w:t>
      </w:r>
      <w:r>
        <w:t>saygılı davranmaları, insan haklarına saygı göstermeleri</w:t>
      </w:r>
      <w:r w:rsidRPr="001A1F17">
        <w:t xml:space="preserve"> </w:t>
      </w:r>
      <w:r>
        <w:t>ve diğer tarafların işçi haklarını ve evrensel olarak kabul</w:t>
      </w:r>
      <w:r w:rsidRPr="001A1F17">
        <w:t xml:space="preserve"> </w:t>
      </w:r>
      <w:r>
        <w:t>edilen insan haklarını ihlaline veya bunlar üzerinde</w:t>
      </w:r>
      <w:r w:rsidRPr="001A1F17">
        <w:t xml:space="preserve"> </w:t>
      </w:r>
      <w:r>
        <w:t>olumsuz etkide bulunmasına neden olmaktan, katkıda</w:t>
      </w:r>
      <w:r w:rsidRPr="001A1F17">
        <w:t xml:space="preserve"> </w:t>
      </w:r>
      <w:r>
        <w:t>bulunmaktan veya bu tür eylemlerle bağlantılı olmaktan</w:t>
      </w:r>
      <w:r w:rsidRPr="001A1F17">
        <w:t xml:space="preserve"> </w:t>
      </w:r>
      <w:r w:rsidR="00963424">
        <w:t>kaçınmalarını talep etmekteyiz.</w:t>
      </w:r>
    </w:p>
    <w:p w:rsidR="001A1F17" w:rsidRPr="006A6679" w:rsidRDefault="001A1F17" w:rsidP="00963424">
      <w:pPr>
        <w:ind w:firstLine="0"/>
        <w:rPr>
          <w:b/>
        </w:rPr>
      </w:pPr>
      <w:r w:rsidRPr="006A6679">
        <w:rPr>
          <w:b/>
        </w:rPr>
        <w:t>ÇEVRE</w:t>
      </w:r>
    </w:p>
    <w:p w:rsidR="001A1F17" w:rsidRDefault="001A1F17" w:rsidP="00963424">
      <w:pPr>
        <w:ind w:firstLine="0"/>
      </w:pPr>
      <w:r>
        <w:t>Çevreyi korumak ve sürdürülebilir gelişime katkıda</w:t>
      </w:r>
      <w:r w:rsidRPr="001A1F17">
        <w:t xml:space="preserve"> </w:t>
      </w:r>
      <w:r>
        <w:t xml:space="preserve">bulunmak, </w:t>
      </w:r>
      <w:r w:rsidR="00A81918">
        <w:t>TURKUAZ MARİN DENİZ ÜRÜNLERİ</w:t>
      </w:r>
      <w:r w:rsidR="004E6B26">
        <w:t xml:space="preserve"> A.Ş.</w:t>
      </w:r>
      <w:r w:rsidR="00963424">
        <w:t xml:space="preserve"> </w:t>
      </w:r>
      <w:r>
        <w:t>için büyük önem taşımaktadır.</w:t>
      </w:r>
      <w:r w:rsidRPr="001A1F17">
        <w:t xml:space="preserve"> </w:t>
      </w:r>
      <w:r>
        <w:t>Tedarikçiler</w:t>
      </w:r>
      <w:r w:rsidR="009E22BF">
        <w:t>imizin</w:t>
      </w:r>
      <w:r>
        <w:t>, çevre üzerindeki kritik etkilere odaklanan çevre</w:t>
      </w:r>
      <w:r w:rsidRPr="001A1F17">
        <w:t xml:space="preserve"> </w:t>
      </w:r>
      <w:r>
        <w:t>planları oluşturarak faaliyetlerinin ve tedarik zincirinin çevre</w:t>
      </w:r>
      <w:r w:rsidRPr="001A1F17">
        <w:t xml:space="preserve"> </w:t>
      </w:r>
      <w:r>
        <w:t>ve toplum üzerindeki olumlu etkilerini arttırmak ve olumsuz</w:t>
      </w:r>
      <w:r w:rsidRPr="001A1F17">
        <w:t xml:space="preserve"> </w:t>
      </w:r>
      <w:r>
        <w:t xml:space="preserve">etkileri sınırlamak için </w:t>
      </w:r>
      <w:r w:rsidR="009E22BF">
        <w:t xml:space="preserve">çevresel risk yönetimi anlayışı ile bir program uygulamasını beklemekteyiz. </w:t>
      </w:r>
    </w:p>
    <w:p w:rsidR="00EE292F" w:rsidRDefault="00EE292F" w:rsidP="00963424">
      <w:pPr>
        <w:ind w:firstLine="0"/>
      </w:pPr>
      <w:r>
        <w:lastRenderedPageBreak/>
        <w:t>Sürdürülebilir balıkçılık, balıkçılık yapılırken balık stoklarına zarar vermeden avcılık yapabilmektedir. Doğal dengeyi bozmadan kurallara uygun balıkçılık yapmak demektir.</w:t>
      </w:r>
    </w:p>
    <w:p w:rsidR="00EE292F" w:rsidRDefault="00EE292F" w:rsidP="00963424">
      <w:pPr>
        <w:ind w:firstLine="0"/>
      </w:pPr>
      <w:r>
        <w:t xml:space="preserve">Denizlerimizdeki zenginliklerin korunabilmesi için devletimizin yanı sıra biz üreticilere de büyük sorumluluk düşmektedir. Turkuaz </w:t>
      </w:r>
      <w:proofErr w:type="spellStart"/>
      <w:r>
        <w:t>Marin</w:t>
      </w:r>
      <w:proofErr w:type="spellEnd"/>
      <w:r>
        <w:t xml:space="preserve"> Deniz Ürünleri AŞ tesislerinde doğal dengeyi bozmadan bakanlığın belirlediği kurallar çerçevesinde avcılık yapan teknelerden balığını temin eder. </w:t>
      </w:r>
    </w:p>
    <w:p w:rsidR="00EE292F" w:rsidRDefault="00EE292F" w:rsidP="00963424">
      <w:pPr>
        <w:ind w:firstLine="0"/>
      </w:pPr>
      <w:r>
        <w:t xml:space="preserve">Turkuaz </w:t>
      </w:r>
      <w:proofErr w:type="spellStart"/>
      <w:r>
        <w:t>Marin</w:t>
      </w:r>
      <w:proofErr w:type="spellEnd"/>
      <w:r>
        <w:t xml:space="preserve"> Deniz Ürünleri AŞ balık üretimini sürdürülebilir balıkçılık konusunda birlikte çalıştığı balıkçıları destekler.</w:t>
      </w:r>
    </w:p>
    <w:p w:rsidR="00EE292F" w:rsidRDefault="00EE292F" w:rsidP="00963424">
      <w:pPr>
        <w:ind w:firstLine="0"/>
      </w:pPr>
      <w:r>
        <w:t>Balık yemi üretiminde kullandığımız tarımsal ve deniz ürünlerinden kaynaklı tüm hammadde ve katkı maddelerinin alımlarında sürdürülebilirlik kaynaklarının devamlılığının sağlanması için Çevre ile ilgili tüm yasal mevzuat ve standartlara uymak, yasal gereklerin ötesinde çevrenin ve doğal hayatın korunmasına özen göstereceğimi taahhüt ederiz.</w:t>
      </w:r>
      <w:bookmarkStart w:id="0" w:name="_GoBack"/>
      <w:bookmarkEnd w:id="0"/>
    </w:p>
    <w:p w:rsidR="000D313B" w:rsidRDefault="000D313B" w:rsidP="000D313B">
      <w:pPr>
        <w:ind w:left="2832" w:firstLine="708"/>
        <w:jc w:val="center"/>
      </w:pPr>
    </w:p>
    <w:p w:rsidR="00703F69" w:rsidRDefault="000D313B" w:rsidP="000D313B">
      <w:pPr>
        <w:ind w:left="2832" w:firstLine="708"/>
      </w:pPr>
      <w:r>
        <w:t xml:space="preserve">                                              </w:t>
      </w:r>
    </w:p>
    <w:p w:rsidR="00703F69" w:rsidRDefault="00703F69" w:rsidP="000D313B">
      <w:pPr>
        <w:ind w:left="2832" w:firstLine="708"/>
      </w:pPr>
    </w:p>
    <w:p w:rsidR="000D313B" w:rsidRDefault="00703F69" w:rsidP="00703F69">
      <w:pPr>
        <w:ind w:left="5664" w:firstLine="708"/>
      </w:pPr>
      <w:r>
        <w:t xml:space="preserve">   </w:t>
      </w:r>
      <w:r w:rsidR="000D313B">
        <w:t>FİRMA ADI</w:t>
      </w:r>
    </w:p>
    <w:p w:rsidR="00187678" w:rsidRDefault="00187678" w:rsidP="00703F69">
      <w:pPr>
        <w:ind w:left="4248" w:firstLine="708"/>
        <w:jc w:val="center"/>
      </w:pPr>
      <w:r>
        <w:t>Kaşe / İmza</w:t>
      </w:r>
    </w:p>
    <w:p w:rsidR="00703F69" w:rsidRDefault="00703F69" w:rsidP="00703F69">
      <w:pPr>
        <w:ind w:left="4248" w:firstLine="708"/>
        <w:jc w:val="center"/>
      </w:pPr>
      <w:r>
        <w:rPr>
          <w:noProof/>
          <w:lang w:eastAsia="tr-TR"/>
        </w:rPr>
        <w:drawing>
          <wp:inline distT="0" distB="0" distL="0" distR="0">
            <wp:extent cx="2273840" cy="1154323"/>
            <wp:effectExtent l="0" t="0" r="0" b="8255"/>
            <wp:docPr id="4" name="Resim 4" descr="C:\Users\dell laptop\Desktop\GLOBALGAP\TURKUAZ MARİN DENİZ ÜRÜNLERİ AŞ\kaş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 laptop\Desktop\GLOBALGAP\TURKUAZ MARİN DENİZ ÜRÜNLERİ AŞ\kaş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0782" cy="1157847"/>
                    </a:xfrm>
                    <a:prstGeom prst="rect">
                      <a:avLst/>
                    </a:prstGeom>
                    <a:noFill/>
                    <a:ln>
                      <a:noFill/>
                    </a:ln>
                  </pic:spPr>
                </pic:pic>
              </a:graphicData>
            </a:graphic>
          </wp:inline>
        </w:drawing>
      </w:r>
    </w:p>
    <w:sectPr w:rsidR="00703F69" w:rsidSect="000C58D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09A" w:rsidRDefault="00F7009A" w:rsidP="00703F69">
      <w:pPr>
        <w:spacing w:after="0" w:line="240" w:lineRule="auto"/>
      </w:pPr>
      <w:r>
        <w:separator/>
      </w:r>
    </w:p>
  </w:endnote>
  <w:endnote w:type="continuationSeparator" w:id="0">
    <w:p w:rsidR="00F7009A" w:rsidRDefault="00F7009A" w:rsidP="0070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09A" w:rsidRDefault="00F7009A" w:rsidP="00703F69">
      <w:pPr>
        <w:spacing w:after="0" w:line="240" w:lineRule="auto"/>
      </w:pPr>
      <w:r>
        <w:separator/>
      </w:r>
    </w:p>
  </w:footnote>
  <w:footnote w:type="continuationSeparator" w:id="0">
    <w:p w:rsidR="00F7009A" w:rsidRDefault="00F7009A" w:rsidP="00703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2"/>
      <w:gridCol w:w="1903"/>
      <w:gridCol w:w="1904"/>
      <w:gridCol w:w="1903"/>
      <w:gridCol w:w="1904"/>
    </w:tblGrid>
    <w:tr w:rsidR="00703F69" w:rsidTr="00703F69">
      <w:trPr>
        <w:cantSplit/>
        <w:trHeight w:val="893"/>
      </w:trPr>
      <w:tc>
        <w:tcPr>
          <w:tcW w:w="1982" w:type="dxa"/>
          <w:shd w:val="clear" w:color="auto" w:fill="FFFFFF"/>
          <w:vAlign w:val="center"/>
        </w:tcPr>
        <w:p w:rsidR="00703F69" w:rsidRDefault="00703F69" w:rsidP="00033166">
          <w:pPr>
            <w:pStyle w:val="stbilgi"/>
            <w:jc w:val="center"/>
          </w:pPr>
        </w:p>
        <w:p w:rsidR="00703F69" w:rsidRDefault="00703F69" w:rsidP="00033166">
          <w:pPr>
            <w:pStyle w:val="stbilgi"/>
            <w:jc w:val="center"/>
            <w:rPr>
              <w:sz w:val="18"/>
            </w:rPr>
          </w:pPr>
          <w:r>
            <w:rPr>
              <w:b/>
              <w:i/>
              <w:noProof/>
              <w:color w:val="FF0000"/>
              <w:sz w:val="44"/>
              <w:szCs w:val="44"/>
              <w:lang w:eastAsia="tr-TR"/>
            </w:rPr>
            <w:drawing>
              <wp:inline distT="0" distB="0" distL="0" distR="0" wp14:anchorId="119EE73F" wp14:editId="181A14C3">
                <wp:extent cx="1009650" cy="438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p>
      </w:tc>
      <w:tc>
        <w:tcPr>
          <w:tcW w:w="7614" w:type="dxa"/>
          <w:gridSpan w:val="4"/>
          <w:vAlign w:val="center"/>
        </w:tcPr>
        <w:p w:rsidR="00703F69" w:rsidRDefault="00703F69" w:rsidP="00033166">
          <w:pPr>
            <w:pStyle w:val="stbilgi"/>
            <w:jc w:val="center"/>
            <w:rPr>
              <w:b/>
            </w:rPr>
          </w:pPr>
          <w:r>
            <w:rPr>
              <w:b/>
            </w:rPr>
            <w:t>TEDARİKÇİ İŞ ETİĞİ POLİTİKASI</w:t>
          </w:r>
        </w:p>
      </w:tc>
    </w:tr>
    <w:tr w:rsidR="00703F69" w:rsidTr="00703F69">
      <w:trPr>
        <w:trHeight w:val="340"/>
      </w:trPr>
      <w:tc>
        <w:tcPr>
          <w:tcW w:w="1982" w:type="dxa"/>
          <w:vAlign w:val="center"/>
        </w:tcPr>
        <w:p w:rsidR="00703F69" w:rsidRDefault="00703F69" w:rsidP="00033166">
          <w:pPr>
            <w:pStyle w:val="stbilgi"/>
            <w:jc w:val="center"/>
            <w:rPr>
              <w:sz w:val="18"/>
            </w:rPr>
          </w:pPr>
          <w:r>
            <w:rPr>
              <w:sz w:val="18"/>
            </w:rPr>
            <w:t>KOD NO</w:t>
          </w:r>
        </w:p>
      </w:tc>
      <w:tc>
        <w:tcPr>
          <w:tcW w:w="1903" w:type="dxa"/>
          <w:vAlign w:val="center"/>
        </w:tcPr>
        <w:p w:rsidR="00703F69" w:rsidRDefault="00703F69" w:rsidP="00033166">
          <w:pPr>
            <w:pStyle w:val="stbilgi"/>
            <w:jc w:val="center"/>
            <w:rPr>
              <w:sz w:val="18"/>
            </w:rPr>
          </w:pPr>
          <w:r>
            <w:rPr>
              <w:sz w:val="18"/>
            </w:rPr>
            <w:t>YAYIN TARİHİ</w:t>
          </w:r>
        </w:p>
      </w:tc>
      <w:tc>
        <w:tcPr>
          <w:tcW w:w="1904" w:type="dxa"/>
          <w:vAlign w:val="center"/>
        </w:tcPr>
        <w:p w:rsidR="00703F69" w:rsidRDefault="00703F69" w:rsidP="00033166">
          <w:pPr>
            <w:pStyle w:val="stbilgi"/>
            <w:jc w:val="center"/>
            <w:rPr>
              <w:sz w:val="18"/>
            </w:rPr>
          </w:pPr>
          <w:r>
            <w:rPr>
              <w:sz w:val="18"/>
            </w:rPr>
            <w:t>REVİZYON NO</w:t>
          </w:r>
        </w:p>
      </w:tc>
      <w:tc>
        <w:tcPr>
          <w:tcW w:w="1903" w:type="dxa"/>
          <w:vAlign w:val="center"/>
        </w:tcPr>
        <w:p w:rsidR="00703F69" w:rsidRDefault="00703F69" w:rsidP="00033166">
          <w:pPr>
            <w:pStyle w:val="stbilgi"/>
            <w:jc w:val="center"/>
            <w:rPr>
              <w:sz w:val="18"/>
            </w:rPr>
          </w:pPr>
          <w:r>
            <w:rPr>
              <w:sz w:val="18"/>
            </w:rPr>
            <w:t>REVİZYON TARİHİ</w:t>
          </w:r>
        </w:p>
      </w:tc>
      <w:tc>
        <w:tcPr>
          <w:tcW w:w="1904" w:type="dxa"/>
          <w:vAlign w:val="center"/>
        </w:tcPr>
        <w:p w:rsidR="00703F69" w:rsidRDefault="00703F69" w:rsidP="00033166">
          <w:pPr>
            <w:pStyle w:val="stbilgi"/>
            <w:jc w:val="center"/>
            <w:rPr>
              <w:sz w:val="18"/>
            </w:rPr>
          </w:pPr>
          <w:r>
            <w:rPr>
              <w:sz w:val="18"/>
            </w:rPr>
            <w:t>SAYFA</w:t>
          </w:r>
        </w:p>
      </w:tc>
    </w:tr>
    <w:tr w:rsidR="00703F69" w:rsidTr="00703F69">
      <w:trPr>
        <w:trHeight w:val="340"/>
      </w:trPr>
      <w:tc>
        <w:tcPr>
          <w:tcW w:w="1982" w:type="dxa"/>
          <w:vAlign w:val="center"/>
        </w:tcPr>
        <w:p w:rsidR="00703F69" w:rsidRPr="00AC5D55" w:rsidRDefault="00703F69" w:rsidP="00033166">
          <w:pPr>
            <w:pStyle w:val="stbilgi"/>
            <w:jc w:val="center"/>
            <w:rPr>
              <w:sz w:val="18"/>
            </w:rPr>
          </w:pPr>
          <w:r>
            <w:rPr>
              <w:sz w:val="18"/>
            </w:rPr>
            <w:t>P 01</w:t>
          </w:r>
        </w:p>
      </w:tc>
      <w:tc>
        <w:tcPr>
          <w:tcW w:w="1903" w:type="dxa"/>
          <w:vAlign w:val="center"/>
        </w:tcPr>
        <w:p w:rsidR="00703F69" w:rsidRDefault="00703F69" w:rsidP="00033166">
          <w:pPr>
            <w:pStyle w:val="stbilgi"/>
            <w:jc w:val="center"/>
            <w:rPr>
              <w:sz w:val="18"/>
            </w:rPr>
          </w:pPr>
          <w:r>
            <w:rPr>
              <w:sz w:val="18"/>
            </w:rPr>
            <w:t>18.04.2025</w:t>
          </w:r>
        </w:p>
      </w:tc>
      <w:tc>
        <w:tcPr>
          <w:tcW w:w="1904" w:type="dxa"/>
          <w:vAlign w:val="center"/>
        </w:tcPr>
        <w:p w:rsidR="00703F69" w:rsidRDefault="00703F69" w:rsidP="00033166">
          <w:pPr>
            <w:pStyle w:val="stbilgi"/>
            <w:jc w:val="center"/>
            <w:rPr>
              <w:sz w:val="18"/>
            </w:rPr>
          </w:pPr>
          <w:r>
            <w:rPr>
              <w:sz w:val="18"/>
            </w:rPr>
            <w:t>-</w:t>
          </w:r>
        </w:p>
      </w:tc>
      <w:tc>
        <w:tcPr>
          <w:tcW w:w="1903" w:type="dxa"/>
          <w:vAlign w:val="center"/>
        </w:tcPr>
        <w:p w:rsidR="00703F69" w:rsidRDefault="00703F69" w:rsidP="00033166">
          <w:pPr>
            <w:pStyle w:val="stbilgi"/>
            <w:jc w:val="center"/>
            <w:rPr>
              <w:sz w:val="18"/>
            </w:rPr>
          </w:pPr>
          <w:r>
            <w:rPr>
              <w:sz w:val="18"/>
            </w:rPr>
            <w:t>-</w:t>
          </w:r>
        </w:p>
      </w:tc>
      <w:tc>
        <w:tcPr>
          <w:tcW w:w="1904" w:type="dxa"/>
          <w:vAlign w:val="center"/>
        </w:tcPr>
        <w:p w:rsidR="00703F69" w:rsidRPr="00AC5D55" w:rsidRDefault="00703F69" w:rsidP="00033166">
          <w:pPr>
            <w:pStyle w:val="stbilgi"/>
            <w:jc w:val="center"/>
          </w:pPr>
          <w:r>
            <w:rPr>
              <w:rStyle w:val="SayfaNumaras"/>
            </w:rPr>
            <w:t>1</w:t>
          </w:r>
        </w:p>
      </w:tc>
    </w:tr>
  </w:tbl>
  <w:p w:rsidR="00703F69" w:rsidRDefault="00703F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37D"/>
    <w:multiLevelType w:val="hybridMultilevel"/>
    <w:tmpl w:val="1270D71C"/>
    <w:lvl w:ilvl="0" w:tplc="CF7EC62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79"/>
    <w:rsid w:val="000C58D0"/>
    <w:rsid w:val="000D313B"/>
    <w:rsid w:val="00112673"/>
    <w:rsid w:val="001521DB"/>
    <w:rsid w:val="00187678"/>
    <w:rsid w:val="001A1F17"/>
    <w:rsid w:val="001F29A0"/>
    <w:rsid w:val="002D3BA5"/>
    <w:rsid w:val="002E2409"/>
    <w:rsid w:val="00302C68"/>
    <w:rsid w:val="003E05E5"/>
    <w:rsid w:val="00420361"/>
    <w:rsid w:val="004312EA"/>
    <w:rsid w:val="00433B6A"/>
    <w:rsid w:val="0047699E"/>
    <w:rsid w:val="004B6DEB"/>
    <w:rsid w:val="004D4265"/>
    <w:rsid w:val="004E6B26"/>
    <w:rsid w:val="00514FFB"/>
    <w:rsid w:val="0052614A"/>
    <w:rsid w:val="005A5CF3"/>
    <w:rsid w:val="006628C0"/>
    <w:rsid w:val="006677A0"/>
    <w:rsid w:val="006A6679"/>
    <w:rsid w:val="006D394A"/>
    <w:rsid w:val="00703F69"/>
    <w:rsid w:val="0072683B"/>
    <w:rsid w:val="00744AFA"/>
    <w:rsid w:val="00745F1F"/>
    <w:rsid w:val="00774812"/>
    <w:rsid w:val="007A4E04"/>
    <w:rsid w:val="007A66BA"/>
    <w:rsid w:val="007E2DF8"/>
    <w:rsid w:val="008343BA"/>
    <w:rsid w:val="00871EA5"/>
    <w:rsid w:val="008D67EA"/>
    <w:rsid w:val="00963424"/>
    <w:rsid w:val="009E22BF"/>
    <w:rsid w:val="00A81918"/>
    <w:rsid w:val="00AC1867"/>
    <w:rsid w:val="00AC3F3F"/>
    <w:rsid w:val="00AD44CF"/>
    <w:rsid w:val="00AE5BDB"/>
    <w:rsid w:val="00B35904"/>
    <w:rsid w:val="00B4620C"/>
    <w:rsid w:val="00C03E4A"/>
    <w:rsid w:val="00C27497"/>
    <w:rsid w:val="00C34C70"/>
    <w:rsid w:val="00C35517"/>
    <w:rsid w:val="00C74D2F"/>
    <w:rsid w:val="00C855F9"/>
    <w:rsid w:val="00D06A3E"/>
    <w:rsid w:val="00DD2279"/>
    <w:rsid w:val="00E367CC"/>
    <w:rsid w:val="00E61466"/>
    <w:rsid w:val="00EA2E00"/>
    <w:rsid w:val="00EE292F"/>
    <w:rsid w:val="00EF3411"/>
    <w:rsid w:val="00F614F0"/>
    <w:rsid w:val="00F7009A"/>
    <w:rsid w:val="00FA354E"/>
    <w:rsid w:val="00FD5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4C70"/>
    <w:pPr>
      <w:ind w:left="720"/>
      <w:contextualSpacing/>
    </w:pPr>
  </w:style>
  <w:style w:type="paragraph" w:styleId="stbilgi">
    <w:name w:val="header"/>
    <w:basedOn w:val="Normal"/>
    <w:link w:val="stbilgiChar"/>
    <w:unhideWhenUsed/>
    <w:rsid w:val="00703F69"/>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703F69"/>
  </w:style>
  <w:style w:type="paragraph" w:styleId="Altbilgi">
    <w:name w:val="footer"/>
    <w:basedOn w:val="Normal"/>
    <w:link w:val="AltbilgiChar"/>
    <w:uiPriority w:val="99"/>
    <w:unhideWhenUsed/>
    <w:rsid w:val="00703F69"/>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703F69"/>
  </w:style>
  <w:style w:type="paragraph" w:styleId="BalonMetni">
    <w:name w:val="Balloon Text"/>
    <w:basedOn w:val="Normal"/>
    <w:link w:val="BalonMetniChar"/>
    <w:uiPriority w:val="99"/>
    <w:semiHidden/>
    <w:unhideWhenUsed/>
    <w:rsid w:val="00703F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3F69"/>
    <w:rPr>
      <w:rFonts w:ascii="Tahoma" w:hAnsi="Tahoma" w:cs="Tahoma"/>
      <w:sz w:val="16"/>
      <w:szCs w:val="16"/>
    </w:rPr>
  </w:style>
  <w:style w:type="character" w:styleId="SayfaNumaras">
    <w:name w:val="page number"/>
    <w:basedOn w:val="VarsaylanParagrafYazTipi"/>
    <w:rsid w:val="00703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4C70"/>
    <w:pPr>
      <w:ind w:left="720"/>
      <w:contextualSpacing/>
    </w:pPr>
  </w:style>
  <w:style w:type="paragraph" w:styleId="stbilgi">
    <w:name w:val="header"/>
    <w:basedOn w:val="Normal"/>
    <w:link w:val="stbilgiChar"/>
    <w:unhideWhenUsed/>
    <w:rsid w:val="00703F69"/>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703F69"/>
  </w:style>
  <w:style w:type="paragraph" w:styleId="Altbilgi">
    <w:name w:val="footer"/>
    <w:basedOn w:val="Normal"/>
    <w:link w:val="AltbilgiChar"/>
    <w:uiPriority w:val="99"/>
    <w:unhideWhenUsed/>
    <w:rsid w:val="00703F69"/>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703F69"/>
  </w:style>
  <w:style w:type="paragraph" w:styleId="BalonMetni">
    <w:name w:val="Balloon Text"/>
    <w:basedOn w:val="Normal"/>
    <w:link w:val="BalonMetniChar"/>
    <w:uiPriority w:val="99"/>
    <w:semiHidden/>
    <w:unhideWhenUsed/>
    <w:rsid w:val="00703F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3F69"/>
    <w:rPr>
      <w:rFonts w:ascii="Tahoma" w:hAnsi="Tahoma" w:cs="Tahoma"/>
      <w:sz w:val="16"/>
      <w:szCs w:val="16"/>
    </w:rPr>
  </w:style>
  <w:style w:type="character" w:styleId="SayfaNumaras">
    <w:name w:val="page number"/>
    <w:basedOn w:val="VarsaylanParagrafYazTipi"/>
    <w:rsid w:val="0070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511</Words>
  <Characters>2917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 laptop</cp:lastModifiedBy>
  <cp:revision>7</cp:revision>
  <dcterms:created xsi:type="dcterms:W3CDTF">2017-12-18T17:59:00Z</dcterms:created>
  <dcterms:modified xsi:type="dcterms:W3CDTF">2025-04-18T10:55:00Z</dcterms:modified>
</cp:coreProperties>
</file>